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AE70" w14:textId="77777777" w:rsidR="00C81E27" w:rsidRDefault="00000000">
      <w:pPr>
        <w:pStyle w:val="BodyText"/>
        <w:ind w:left="31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423528" wp14:editId="69FE2595">
            <wp:extent cx="2144878" cy="85629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878" cy="85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CC89" w14:textId="77777777" w:rsidR="00C81E27" w:rsidRDefault="00C81E27">
      <w:pPr>
        <w:pStyle w:val="BodyText"/>
        <w:rPr>
          <w:rFonts w:ascii="Times New Roman"/>
          <w:sz w:val="28"/>
        </w:rPr>
      </w:pPr>
    </w:p>
    <w:p w14:paraId="431E9968" w14:textId="77777777" w:rsidR="00C81E27" w:rsidRDefault="00C81E27">
      <w:pPr>
        <w:pStyle w:val="BodyText"/>
        <w:rPr>
          <w:rFonts w:ascii="Times New Roman"/>
          <w:sz w:val="28"/>
        </w:rPr>
      </w:pPr>
    </w:p>
    <w:p w14:paraId="0DA59F92" w14:textId="25E7569E" w:rsidR="00217FD4" w:rsidRPr="00217FD4" w:rsidRDefault="00217FD4" w:rsidP="00217FD4">
      <w:pPr>
        <w:pStyle w:val="BodyText"/>
        <w:jc w:val="center"/>
        <w:rPr>
          <w:rFonts w:ascii="Times New Roman"/>
          <w:b/>
          <w:bCs/>
          <w:sz w:val="44"/>
          <w:szCs w:val="44"/>
        </w:rPr>
      </w:pPr>
      <w:proofErr w:type="spellStart"/>
      <w:r w:rsidRPr="00217FD4">
        <w:rPr>
          <w:rFonts w:ascii="Times New Roman"/>
          <w:b/>
          <w:bCs/>
          <w:sz w:val="44"/>
          <w:szCs w:val="44"/>
        </w:rPr>
        <w:t>Respecialization</w:t>
      </w:r>
      <w:proofErr w:type="spellEnd"/>
      <w:r w:rsidRPr="00217FD4">
        <w:rPr>
          <w:rFonts w:ascii="Times New Roman"/>
          <w:b/>
          <w:bCs/>
          <w:sz w:val="44"/>
          <w:szCs w:val="44"/>
        </w:rPr>
        <w:t xml:space="preserve"> Training Program</w:t>
      </w:r>
    </w:p>
    <w:p w14:paraId="07F00B5E" w14:textId="7845178E" w:rsidR="00C81E27" w:rsidRDefault="00217FD4" w:rsidP="00217FD4">
      <w:pPr>
        <w:pStyle w:val="BodyText"/>
        <w:jc w:val="center"/>
        <w:rPr>
          <w:rFonts w:ascii="Times New Roman"/>
          <w:sz w:val="28"/>
        </w:rPr>
      </w:pPr>
      <w:r w:rsidRPr="00217FD4">
        <w:rPr>
          <w:rFonts w:ascii="Times New Roman"/>
          <w:sz w:val="28"/>
        </w:rPr>
        <w:t>Course Curriculum</w:t>
      </w:r>
    </w:p>
    <w:p w14:paraId="0B286631" w14:textId="77777777" w:rsidR="00217FD4" w:rsidRDefault="00217FD4" w:rsidP="00217FD4">
      <w:pPr>
        <w:pStyle w:val="BodyText"/>
        <w:jc w:val="center"/>
        <w:rPr>
          <w:rFonts w:ascii="Times New Roman"/>
          <w:sz w:val="28"/>
        </w:rPr>
      </w:pPr>
    </w:p>
    <w:p w14:paraId="1EF0CDCC" w14:textId="77777777" w:rsidR="00C81E27" w:rsidRDefault="00C81E27">
      <w:pPr>
        <w:pStyle w:val="BodyText"/>
        <w:rPr>
          <w:rFonts w:ascii="Times New Roman"/>
          <w:sz w:val="28"/>
        </w:rPr>
      </w:pPr>
    </w:p>
    <w:p w14:paraId="429D8B74" w14:textId="77777777" w:rsidR="00217FD4" w:rsidRDefault="00217FD4" w:rsidP="00217FD4">
      <w:pPr>
        <w:pStyle w:val="BodyText"/>
        <w:rPr>
          <w:rFonts w:ascii="Times New Roman"/>
          <w:sz w:val="28"/>
        </w:rPr>
      </w:pPr>
      <w:r w:rsidRPr="00217FD4">
        <w:rPr>
          <w:rFonts w:ascii="Times New Roman"/>
          <w:sz w:val="28"/>
        </w:rPr>
        <w:t xml:space="preserve">The theoretical component of the </w:t>
      </w:r>
      <w:proofErr w:type="spellStart"/>
      <w:r w:rsidRPr="00217FD4">
        <w:rPr>
          <w:rFonts w:ascii="Times New Roman"/>
          <w:sz w:val="28"/>
        </w:rPr>
        <w:t>Respecialization</w:t>
      </w:r>
      <w:proofErr w:type="spellEnd"/>
      <w:r w:rsidRPr="00217FD4">
        <w:rPr>
          <w:rFonts w:ascii="Times New Roman"/>
          <w:sz w:val="28"/>
        </w:rPr>
        <w:t xml:space="preserve"> Program consists of mandatory course work (four eight-week quarters, two classes each quarter, on Wednesday evenings) and optional classes in the Child and Adolescent Program (CAP).</w:t>
      </w:r>
    </w:p>
    <w:p w14:paraId="4B37B636" w14:textId="77777777" w:rsidR="00217FD4" w:rsidRPr="00217FD4" w:rsidRDefault="00217FD4" w:rsidP="00217FD4">
      <w:pPr>
        <w:pStyle w:val="BodyText"/>
        <w:rPr>
          <w:rFonts w:ascii="Times New Roman"/>
          <w:sz w:val="28"/>
        </w:rPr>
      </w:pPr>
    </w:p>
    <w:p w14:paraId="30FBBC68" w14:textId="39FFB826" w:rsidR="00217FD4" w:rsidRPr="00217FD4" w:rsidRDefault="00217FD4" w:rsidP="00217FD4">
      <w:pPr>
        <w:pStyle w:val="BodyText"/>
        <w:rPr>
          <w:rFonts w:ascii="Times New Roman"/>
          <w:sz w:val="28"/>
        </w:rPr>
      </w:pPr>
      <w:r w:rsidRPr="00217FD4">
        <w:rPr>
          <w:rFonts w:ascii="Times New Roman"/>
          <w:sz w:val="28"/>
        </w:rPr>
        <w:t xml:space="preserve">During these two years candidates learn in class the basics of psychopathology, technique and diagnosis from a </w:t>
      </w:r>
      <w:r w:rsidRPr="00217FD4">
        <w:rPr>
          <w:rFonts w:ascii="Times New Roman"/>
          <w:sz w:val="28"/>
        </w:rPr>
        <w:t>Freudian</w:t>
      </w:r>
      <w:r w:rsidRPr="00217FD4">
        <w:rPr>
          <w:rFonts w:ascii="Times New Roman"/>
          <w:sz w:val="28"/>
        </w:rPr>
        <w:t xml:space="preserve"> and post-</w:t>
      </w:r>
      <w:r w:rsidRPr="00217FD4">
        <w:rPr>
          <w:rFonts w:ascii="Times New Roman"/>
          <w:sz w:val="28"/>
        </w:rPr>
        <w:t>Freudian</w:t>
      </w:r>
      <w:r w:rsidRPr="00217FD4">
        <w:rPr>
          <w:rFonts w:ascii="Times New Roman"/>
          <w:sz w:val="28"/>
        </w:rPr>
        <w:t xml:space="preserve"> approach and its challenges with new clinical societal realities. </w:t>
      </w:r>
    </w:p>
    <w:p w14:paraId="6A53AA82" w14:textId="77777777" w:rsidR="00C81E27" w:rsidRDefault="00C81E27">
      <w:pPr>
        <w:pStyle w:val="BodyText"/>
        <w:rPr>
          <w:rFonts w:ascii="Times New Roman"/>
          <w:sz w:val="28"/>
        </w:rPr>
      </w:pPr>
    </w:p>
    <w:p w14:paraId="26C1320B" w14:textId="77777777" w:rsidR="00C81E27" w:rsidRDefault="00C81E27">
      <w:pPr>
        <w:pStyle w:val="BodyText"/>
        <w:rPr>
          <w:rFonts w:ascii="Times New Roman"/>
          <w:sz w:val="28"/>
        </w:rPr>
      </w:pPr>
    </w:p>
    <w:p w14:paraId="6F2B1EDC" w14:textId="77777777" w:rsidR="00C81E27" w:rsidRDefault="00000000" w:rsidP="00217FD4">
      <w:pPr>
        <w:pStyle w:val="Heading1"/>
        <w:ind w:left="0"/>
        <w:jc w:val="left"/>
      </w:pPr>
      <w:r>
        <w:t>FIRST</w:t>
      </w:r>
      <w:r>
        <w:rPr>
          <w:spacing w:val="-20"/>
        </w:rPr>
        <w:t xml:space="preserve"> </w:t>
      </w:r>
      <w:r>
        <w:rPr>
          <w:spacing w:val="-4"/>
        </w:rPr>
        <w:t>YEAR</w:t>
      </w:r>
    </w:p>
    <w:p w14:paraId="596AE20F" w14:textId="77777777" w:rsidR="00C81E27" w:rsidRDefault="00C81E27">
      <w:pPr>
        <w:pStyle w:val="BodyText"/>
        <w:spacing w:before="25"/>
        <w:rPr>
          <w:b/>
          <w:sz w:val="28"/>
        </w:rPr>
      </w:pPr>
    </w:p>
    <w:p w14:paraId="746F5082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0"/>
        <w:ind w:left="273" w:hanging="162"/>
      </w:pPr>
      <w:r>
        <w:t>Clinical Seminar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(First</w:t>
      </w:r>
      <w:r>
        <w:rPr>
          <w:spacing w:val="3"/>
        </w:rPr>
        <w:t xml:space="preserve"> </w:t>
      </w:r>
      <w:r>
        <w:rPr>
          <w:spacing w:val="-2"/>
        </w:rPr>
        <w:t>Semester)</w:t>
      </w:r>
    </w:p>
    <w:p w14:paraId="6D707D1D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62"/>
      </w:pPr>
      <w:r>
        <w:t>Psychopathology</w:t>
      </w:r>
      <w:r>
        <w:rPr>
          <w:spacing w:val="-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Part </w:t>
      </w:r>
      <w:r>
        <w:rPr>
          <w:spacing w:val="-5"/>
        </w:rPr>
        <w:t>II</w:t>
      </w:r>
    </w:p>
    <w:p w14:paraId="0F7CC556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33"/>
        <w:ind w:left="273" w:hanging="162"/>
      </w:pPr>
      <w:r>
        <w:rPr>
          <w:spacing w:val="-2"/>
        </w:rPr>
        <w:t>Introduction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Psychoanalytic</w:t>
      </w:r>
      <w:r>
        <w:rPr>
          <w:spacing w:val="2"/>
        </w:rPr>
        <w:t xml:space="preserve"> </w:t>
      </w:r>
      <w:r>
        <w:rPr>
          <w:spacing w:val="-2"/>
        </w:rPr>
        <w:t>Psychotherapy</w:t>
      </w:r>
    </w:p>
    <w:p w14:paraId="40AB3B33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62"/>
      </w:pPr>
      <w:r>
        <w:t>Clinical</w:t>
      </w:r>
      <w:r>
        <w:rPr>
          <w:spacing w:val="-3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(Second</w:t>
      </w:r>
      <w:r>
        <w:rPr>
          <w:spacing w:val="-2"/>
        </w:rPr>
        <w:t xml:space="preserve"> Semester)</w:t>
      </w:r>
    </w:p>
    <w:p w14:paraId="040AEDE5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ind w:left="273" w:hanging="162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Disturbed</w:t>
      </w:r>
      <w:r>
        <w:rPr>
          <w:spacing w:val="2"/>
        </w:rPr>
        <w:t xml:space="preserve"> </w:t>
      </w:r>
      <w:r>
        <w:rPr>
          <w:spacing w:val="-2"/>
        </w:rPr>
        <w:t>Patient</w:t>
      </w:r>
    </w:p>
    <w:p w14:paraId="32551FEB" w14:textId="77777777" w:rsidR="00C81E27" w:rsidRDefault="00C81E27">
      <w:pPr>
        <w:pStyle w:val="BodyText"/>
      </w:pPr>
    </w:p>
    <w:p w14:paraId="06B636EB" w14:textId="77777777" w:rsidR="00C81E27" w:rsidRDefault="00C81E27">
      <w:pPr>
        <w:pStyle w:val="BodyText"/>
        <w:spacing w:before="84"/>
      </w:pPr>
    </w:p>
    <w:p w14:paraId="17657FDC" w14:textId="77777777" w:rsidR="00C81E27" w:rsidRDefault="00000000" w:rsidP="00217FD4">
      <w:pPr>
        <w:pStyle w:val="Heading1"/>
        <w:ind w:left="0" w:right="33"/>
        <w:jc w:val="left"/>
      </w:pPr>
      <w:r>
        <w:t>SECOND</w:t>
      </w:r>
      <w:r>
        <w:rPr>
          <w:spacing w:val="-12"/>
        </w:rPr>
        <w:t xml:space="preserve"> </w:t>
      </w:r>
      <w:r>
        <w:rPr>
          <w:spacing w:val="-4"/>
        </w:rPr>
        <w:t>YEAR</w:t>
      </w:r>
    </w:p>
    <w:p w14:paraId="0927D783" w14:textId="77777777" w:rsidR="00C81E27" w:rsidRDefault="00C81E27">
      <w:pPr>
        <w:pStyle w:val="BodyText"/>
        <w:spacing w:before="98"/>
        <w:rPr>
          <w:b/>
          <w:sz w:val="28"/>
        </w:rPr>
      </w:pPr>
    </w:p>
    <w:p w14:paraId="58836294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0"/>
        <w:ind w:left="273" w:hanging="162"/>
      </w:pPr>
      <w:r>
        <w:t>Clinical</w:t>
      </w:r>
      <w:r>
        <w:rPr>
          <w:spacing w:val="-1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t>(Part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5"/>
        </w:rPr>
        <w:t>II)</w:t>
      </w:r>
    </w:p>
    <w:p w14:paraId="4369A520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2"/>
          <w:tab w:val="left" w:pos="274"/>
        </w:tabs>
        <w:spacing w:line="249" w:lineRule="auto"/>
        <w:ind w:right="3789"/>
      </w:pPr>
      <w:r>
        <w:t>Introduction to Classical</w:t>
      </w:r>
      <w:r>
        <w:rPr>
          <w:spacing w:val="-2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 and II</w:t>
      </w:r>
      <w:r>
        <w:rPr>
          <w:spacing w:val="-10"/>
        </w:rPr>
        <w:t xml:space="preserve"> </w:t>
      </w:r>
      <w:r>
        <w:t xml:space="preserve">First </w:t>
      </w:r>
      <w:r>
        <w:rPr>
          <w:spacing w:val="-2"/>
        </w:rPr>
        <w:t>Semester</w:t>
      </w:r>
    </w:p>
    <w:p w14:paraId="46F0A2E7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25"/>
        <w:ind w:left="273" w:hanging="162"/>
      </w:pPr>
      <w:r>
        <w:t>Clinical</w:t>
      </w:r>
      <w:r>
        <w:rPr>
          <w:spacing w:val="-3"/>
        </w:rPr>
        <w:t xml:space="preserve"> </w:t>
      </w:r>
      <w:r>
        <w:t>Seminar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18A64F70" w14:textId="77777777" w:rsidR="00C81E27" w:rsidRDefault="00000000">
      <w:pPr>
        <w:pStyle w:val="ListParagraph"/>
        <w:numPr>
          <w:ilvl w:val="0"/>
          <w:numId w:val="1"/>
        </w:numPr>
        <w:tabs>
          <w:tab w:val="left" w:pos="273"/>
        </w:tabs>
        <w:spacing w:before="138"/>
        <w:ind w:left="273" w:hanging="162"/>
      </w:pPr>
      <w:r>
        <w:t>Clinical</w:t>
      </w:r>
      <w:r>
        <w:rPr>
          <w:spacing w:val="-4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rPr>
          <w:spacing w:val="-2"/>
        </w:rPr>
        <w:t>Semester</w:t>
      </w:r>
    </w:p>
    <w:sectPr w:rsidR="00C81E27">
      <w:footerReference w:type="default" r:id="rId8"/>
      <w:type w:val="continuous"/>
      <w:pgSz w:w="12240" w:h="15840"/>
      <w:pgMar w:top="860" w:right="1720" w:bottom="1060" w:left="1320" w:header="0" w:footer="8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995D" w14:textId="77777777" w:rsidR="00295B6B" w:rsidRDefault="00295B6B">
      <w:r>
        <w:separator/>
      </w:r>
    </w:p>
  </w:endnote>
  <w:endnote w:type="continuationSeparator" w:id="0">
    <w:p w14:paraId="74933E9C" w14:textId="77777777" w:rsidR="00295B6B" w:rsidRDefault="002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8BCD" w14:textId="77777777" w:rsidR="00C81E2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75121480" wp14:editId="51A968A9">
              <wp:simplePos x="0" y="0"/>
              <wp:positionH relativeFrom="page">
                <wp:posOffset>1474756</wp:posOffset>
              </wp:positionH>
              <wp:positionV relativeFrom="page">
                <wp:posOffset>9362225</wp:posOffset>
              </wp:positionV>
              <wp:extent cx="482473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473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210677" w14:textId="77777777" w:rsidR="00C81E27" w:rsidRDefault="00000000">
                          <w:pPr>
                            <w:spacing w:before="18"/>
                            <w:ind w:left="4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Component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Society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International</w:t>
                          </w:r>
                          <w:r>
                            <w:rPr>
                              <w:rFonts w:asci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Psychoanalytical</w:t>
                          </w:r>
                          <w:r>
                            <w:rPr>
                              <w:rFonts w:ascii="Georg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>Association</w:t>
                          </w:r>
                        </w:p>
                        <w:p w14:paraId="6D01F2B9" w14:textId="77777777" w:rsidR="00C81E27" w:rsidRDefault="00000000">
                          <w:pPr>
                            <w:spacing w:before="1"/>
                            <w:ind w:left="4" w:right="4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z w:val="16"/>
                            </w:rPr>
                            <w:t>IPTAR</w:t>
                          </w:r>
                          <w:r>
                            <w:rPr>
                              <w:rFonts w:asci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has</w:t>
                          </w:r>
                          <w:r>
                            <w:rPr>
                              <w:rFonts w:asci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Absolute</w:t>
                          </w:r>
                          <w:r>
                            <w:rPr>
                              <w:rFonts w:asci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Charter</w:t>
                          </w: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Georg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Board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Regents of</w:t>
                          </w:r>
                          <w:r>
                            <w:rPr>
                              <w:rFonts w:asci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Georg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New</w:t>
                          </w:r>
                          <w:r>
                            <w:rPr>
                              <w:rFonts w:ascii="Georg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York</w:t>
                          </w: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State</w:t>
                          </w:r>
                          <w:r>
                            <w:rPr>
                              <w:rFonts w:ascii="Georg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Georg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>Education.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214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6.1pt;margin-top:737.2pt;width:379.9pt;height:20.1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" filled="f" stroked="f">
              <v:textbox inset="0,0,0,0">
                <w:txbxContent>
                  <w:p w14:paraId="6B210677" w14:textId="77777777" w:rsidR="00C81E27" w:rsidRDefault="00000000">
                    <w:pPr>
                      <w:spacing w:before="18"/>
                      <w:ind w:left="4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z w:val="16"/>
                      </w:rPr>
                      <w:t>A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Component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Society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of</w:t>
                    </w:r>
                    <w:r>
                      <w:rPr>
                        <w:rFonts w:asci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the</w:t>
                    </w:r>
                    <w:r>
                      <w:rPr>
                        <w:rFonts w:asci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International</w:t>
                    </w:r>
                    <w:r>
                      <w:rPr>
                        <w:rFonts w:asci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Psychoanalytical</w:t>
                    </w:r>
                    <w:r>
                      <w:rPr>
                        <w:rFonts w:ascii="Georg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pacing w:val="-2"/>
                        <w:sz w:val="16"/>
                      </w:rPr>
                      <w:t>Association</w:t>
                    </w:r>
                  </w:p>
                  <w:p w14:paraId="6D01F2B9" w14:textId="77777777" w:rsidR="00C81E27" w:rsidRDefault="00000000">
                    <w:pPr>
                      <w:spacing w:before="1"/>
                      <w:ind w:left="4" w:right="4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z w:val="16"/>
                      </w:rPr>
                      <w:t>IPTAR</w:t>
                    </w:r>
                    <w:r>
                      <w:rPr>
                        <w:rFonts w:asci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has</w:t>
                    </w:r>
                    <w:r>
                      <w:rPr>
                        <w:rFonts w:asci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an</w:t>
                    </w:r>
                    <w:r>
                      <w:rPr>
                        <w:rFonts w:asci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Absolute</w:t>
                    </w:r>
                    <w:r>
                      <w:rPr>
                        <w:rFonts w:asci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Charter</w:t>
                    </w:r>
                    <w:r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from</w:t>
                    </w:r>
                    <w:r>
                      <w:rPr>
                        <w:rFonts w:ascii="Georg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the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Board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of</w:t>
                    </w:r>
                    <w:r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Regents of</w:t>
                    </w:r>
                    <w:r>
                      <w:rPr>
                        <w:rFonts w:asci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the</w:t>
                    </w:r>
                    <w:r>
                      <w:rPr>
                        <w:rFonts w:ascii="Georg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New</w:t>
                    </w:r>
                    <w:r>
                      <w:rPr>
                        <w:rFonts w:ascii="Georg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York</w:t>
                    </w:r>
                    <w:r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State</w:t>
                    </w:r>
                    <w:r>
                      <w:rPr>
                        <w:rFonts w:ascii="Georg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Department</w:t>
                    </w:r>
                    <w:r>
                      <w:rPr>
                        <w:rFonts w:ascii="Georg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z w:val="16"/>
                      </w:rPr>
                      <w:t>of</w:t>
                    </w:r>
                    <w:r>
                      <w:rPr>
                        <w:rFonts w:ascii="Georg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spacing w:val="-2"/>
                        <w:sz w:val="16"/>
                      </w:rPr>
                      <w:t>Education.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D075" w14:textId="77777777" w:rsidR="00295B6B" w:rsidRDefault="00295B6B">
      <w:r>
        <w:separator/>
      </w:r>
    </w:p>
  </w:footnote>
  <w:footnote w:type="continuationSeparator" w:id="0">
    <w:p w14:paraId="6A8EC021" w14:textId="77777777" w:rsidR="00295B6B" w:rsidRDefault="002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A27A9"/>
    <w:multiLevelType w:val="hybridMultilevel"/>
    <w:tmpl w:val="88A0D80C"/>
    <w:lvl w:ilvl="0" w:tplc="F58C96B2">
      <w:numFmt w:val="bullet"/>
      <w:lvlText w:val=""/>
      <w:lvlJc w:val="left"/>
      <w:pPr>
        <w:ind w:left="274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F65576">
      <w:numFmt w:val="bullet"/>
      <w:lvlText w:val="•"/>
      <w:lvlJc w:val="left"/>
      <w:pPr>
        <w:ind w:left="1172" w:hanging="164"/>
      </w:pPr>
      <w:rPr>
        <w:rFonts w:hint="default"/>
        <w:lang w:val="en-US" w:eastAsia="en-US" w:bidi="ar-SA"/>
      </w:rPr>
    </w:lvl>
    <w:lvl w:ilvl="2" w:tplc="2A80CFAC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3" w:tplc="A8E26538">
      <w:numFmt w:val="bullet"/>
      <w:lvlText w:val="•"/>
      <w:lvlJc w:val="left"/>
      <w:pPr>
        <w:ind w:left="2956" w:hanging="164"/>
      </w:pPr>
      <w:rPr>
        <w:rFonts w:hint="default"/>
        <w:lang w:val="en-US" w:eastAsia="en-US" w:bidi="ar-SA"/>
      </w:rPr>
    </w:lvl>
    <w:lvl w:ilvl="4" w:tplc="91CA889E">
      <w:numFmt w:val="bullet"/>
      <w:lvlText w:val="•"/>
      <w:lvlJc w:val="left"/>
      <w:pPr>
        <w:ind w:left="3848" w:hanging="164"/>
      </w:pPr>
      <w:rPr>
        <w:rFonts w:hint="default"/>
        <w:lang w:val="en-US" w:eastAsia="en-US" w:bidi="ar-SA"/>
      </w:rPr>
    </w:lvl>
    <w:lvl w:ilvl="5" w:tplc="9EFE1E78">
      <w:numFmt w:val="bullet"/>
      <w:lvlText w:val="•"/>
      <w:lvlJc w:val="left"/>
      <w:pPr>
        <w:ind w:left="4740" w:hanging="164"/>
      </w:pPr>
      <w:rPr>
        <w:rFonts w:hint="default"/>
        <w:lang w:val="en-US" w:eastAsia="en-US" w:bidi="ar-SA"/>
      </w:rPr>
    </w:lvl>
    <w:lvl w:ilvl="6" w:tplc="44840224">
      <w:numFmt w:val="bullet"/>
      <w:lvlText w:val="•"/>
      <w:lvlJc w:val="left"/>
      <w:pPr>
        <w:ind w:left="5632" w:hanging="164"/>
      </w:pPr>
      <w:rPr>
        <w:rFonts w:hint="default"/>
        <w:lang w:val="en-US" w:eastAsia="en-US" w:bidi="ar-SA"/>
      </w:rPr>
    </w:lvl>
    <w:lvl w:ilvl="7" w:tplc="90B85036">
      <w:numFmt w:val="bullet"/>
      <w:lvlText w:val="•"/>
      <w:lvlJc w:val="left"/>
      <w:pPr>
        <w:ind w:left="6524" w:hanging="164"/>
      </w:pPr>
      <w:rPr>
        <w:rFonts w:hint="default"/>
        <w:lang w:val="en-US" w:eastAsia="en-US" w:bidi="ar-SA"/>
      </w:rPr>
    </w:lvl>
    <w:lvl w:ilvl="8" w:tplc="C22801AA">
      <w:numFmt w:val="bullet"/>
      <w:lvlText w:val="•"/>
      <w:lvlJc w:val="left"/>
      <w:pPr>
        <w:ind w:left="7416" w:hanging="164"/>
      </w:pPr>
      <w:rPr>
        <w:rFonts w:hint="default"/>
        <w:lang w:val="en-US" w:eastAsia="en-US" w:bidi="ar-SA"/>
      </w:rPr>
    </w:lvl>
  </w:abstractNum>
  <w:num w:numId="1" w16cid:durableId="79359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27"/>
    <w:rsid w:val="00217FD4"/>
    <w:rsid w:val="00295B6B"/>
    <w:rsid w:val="00752D84"/>
    <w:rsid w:val="00C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73CC"/>
  <w15:docId w15:val="{5B7C38EB-60C5-4DF3-93D5-3781141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1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4"/>
      <w:ind w:left="273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Respecialization Training Program Curriculum.docx</dc:title>
  <dc:creator>Lisa Ramtahal</dc:creator>
  <cp:lastModifiedBy>Camille Starling-Dade</cp:lastModifiedBy>
  <cp:revision>2</cp:revision>
  <dcterms:created xsi:type="dcterms:W3CDTF">2025-02-21T21:38:00Z</dcterms:created>
  <dcterms:modified xsi:type="dcterms:W3CDTF">2025-02-21T21:38:00Z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macOS Version 10.15.7 (Build 19H524) Quartz PDFContext</vt:lpwstr>
  </property>
</Properties>
</file>